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480"/>
      </w:pPr>
      <w:r>
        <w:rPr>
          <w:b/>
          <w:bCs/>
          <w:sz w:val="48"/>
          <w:szCs w:val="48"/>
        </w:rPr>
        <w:t xml:space="preserve">Incident Response Plan</w:t>
      </w:r>
    </w:p>
    <w:p>
      <w:pPr>
        <w:spacing w:after="240"/>
      </w:pPr>
      <w:r>
        <w:rPr>
          <w:color w:val="555555"/>
          <w:sz w:val="22"/>
          <w:szCs w:val="22"/>
        </w:rPr>
        <w:t xml:space="preserve">Fill-in template aligned with the guides at vendorquals.com: the breach response checklist, the incident commander role, and the notification law guides.</w:t>
      </w:r>
    </w:p>
    <w:p>
      <w:pPr>
        <w:pStyle w:val="Heading1"/>
        <w:spacing w:after="160" w:before="360"/>
      </w:pPr>
      <w:r>
        <w:t xml:space="preserve">1. Purpose, scope, and ownership</w:t>
      </w:r>
    </w:p>
    <w:p>
      <w:pPr>
        <w:spacing w:after="120" w:line="312"/>
      </w:pPr>
      <w:r>
        <w:rPr>
          <w:b/>
          <w:bCs/>
        </w:rPr>
        <w:t xml:space="preserve">Organization:</w:t>
      </w:r>
      <w:r>
        <w:rPr>
          <w:color w:val="888888"/>
        </w:rPr>
        <w:t xml:space="preserve">  [fill in]</w:t>
      </w:r>
    </w:p>
    <w:p>
      <w:pPr>
        <w:spacing w:after="120" w:line="312"/>
      </w:pPr>
      <w:r>
        <w:rPr>
          <w:b/>
          <w:bCs/>
        </w:rPr>
        <w:t xml:space="preserve">Plan owner (accountable for maintenance):</w:t>
      </w:r>
      <w:r>
        <w:rPr>
          <w:color w:val="888888"/>
        </w:rPr>
        <w:t xml:space="preserve">  [fill in]</w:t>
      </w:r>
    </w:p>
    <w:p>
      <w:pPr>
        <w:spacing w:after="120" w:line="312"/>
      </w:pPr>
      <w:r>
        <w:rPr>
          <w:b/>
          <w:bCs/>
        </w:rPr>
        <w:t xml:space="preserve">Plan review cadence (recommended: twice yearly, after every incident):</w:t>
      </w:r>
      <w:r>
        <w:rPr>
          <w:color w:val="888888"/>
        </w:rPr>
        <w:t xml:space="preserve">  [fill in]</w:t>
      </w:r>
    </w:p>
    <w:p>
      <w:pPr>
        <w:spacing w:after="120" w:line="312"/>
      </w:pPr>
      <w:r>
        <w:rPr>
          <w:b/>
          <w:bCs/>
        </w:rPr>
        <w:t xml:space="preserve">Scope (systems, data types, business units in):</w:t>
      </w:r>
      <w:r>
        <w:rPr>
          <w:color w:val="888888"/>
        </w:rPr>
        <w:t xml:space="preserve">  [fill in]</w:t>
      </w:r>
    </w:p>
    <w:p>
      <w:pPr>
        <w:spacing w:after="120" w:line="312"/>
      </w:pPr>
      <w:r>
        <w:rPr>
          <w:b/>
          <w:bCs/>
        </w:rPr>
        <w:t xml:space="preserve">Scope (explicitly out):</w:t>
      </w:r>
      <w:r>
        <w:rPr>
          <w:color w:val="888888"/>
        </w:rPr>
        <w:t xml:space="preserve">  [fill in]</w:t>
      </w:r>
    </w:p>
    <w:p>
      <w:pPr>
        <w:pStyle w:val="Heading1"/>
        <w:spacing w:after="160" w:before="360"/>
      </w:pPr>
      <w:r>
        <w:t xml:space="preserve">2. Roles and authority</w:t>
      </w:r>
    </w:p>
    <w:p>
      <w:pPr>
        <w:spacing w:after="120" w:line="312"/>
      </w:pPr>
      <w:r>
        <w:t xml:space="preserve">Certifications belong to individuals, so names matter more than titles. Each role gets a named primary and a named backup:</w:t>
      </w:r>
    </w:p>
    <w:p>
      <w:pPr>
        <w:spacing w:after="120" w:line="312"/>
      </w:pPr>
      <w:r>
        <w:rPr>
          <w:b/>
          <w:bCs/>
        </w:rPr>
        <w:t xml:space="preserve">Incident Commander (authority to spend, decide, and commit the organization):</w:t>
      </w:r>
      <w:r>
        <w:rPr>
          <w:color w:val="888888"/>
        </w:rPr>
        <w:t xml:space="preserve">  [fill in]</w:t>
      </w:r>
    </w:p>
    <w:p>
      <w:pPr>
        <w:spacing w:after="120" w:line="312"/>
      </w:pPr>
      <w:r>
        <w:rPr>
          <w:b/>
          <w:bCs/>
        </w:rPr>
        <w:t xml:space="preserve">Deputy / Technical Lead:</w:t>
      </w:r>
      <w:r>
        <w:rPr>
          <w:color w:val="888888"/>
        </w:rPr>
        <w:t xml:space="preserve">  [fill in]</w:t>
      </w:r>
    </w:p>
    <w:p>
      <w:pPr>
        <w:spacing w:after="120" w:line="312"/>
      </w:pPr>
      <w:r>
        <w:rPr>
          <w:b/>
          <w:bCs/>
        </w:rPr>
        <w:t xml:space="preserve">Communications Lead (the one authorized voice):</w:t>
      </w:r>
      <w:r>
        <w:rPr>
          <w:color w:val="888888"/>
        </w:rPr>
        <w:t xml:space="preserve">  [fill in]</w:t>
      </w:r>
    </w:p>
    <w:p>
      <w:pPr>
        <w:spacing w:after="120" w:line="312"/>
      </w:pPr>
      <w:r>
        <w:rPr>
          <w:b/>
          <w:bCs/>
        </w:rPr>
        <w:t xml:space="preserve">Counsel (breach counsel, engagement lead):</w:t>
      </w:r>
      <w:r>
        <w:rPr>
          <w:color w:val="888888"/>
        </w:rPr>
        <w:t xml:space="preserve">  [fill in]</w:t>
      </w:r>
    </w:p>
    <w:p>
      <w:pPr>
        <w:spacing w:after="120" w:line="312"/>
      </w:pPr>
      <w:r>
        <w:rPr>
          <w:b/>
          <w:bCs/>
        </w:rPr>
        <w:t xml:space="preserve">Board / executive liaison:</w:t>
      </w:r>
      <w:r>
        <w:rPr>
          <w:color w:val="888888"/>
        </w:rPr>
        <w:t xml:space="preserve">  [fill in]</w:t>
      </w:r>
    </w:p>
    <w:p>
      <w:pPr>
        <w:spacing w:after="120" w:line="312"/>
      </w:pPr>
      <w:r>
        <w:t xml:space="preserve">The Incident Commander holds the pen: one person runs the incident so the person fighting the fire is not also making every decision about it.</w:t>
      </w:r>
    </w:p>
    <w:p>
      <w:pPr>
        <w:pStyle w:val="Heading1"/>
        <w:spacing w:after="160" w:before="360"/>
      </w:pPr>
      <w:r>
        <w:t xml:space="preserve">3. Severity tiers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9"/>
        <w:gridCol w:w="3009"/>
        <w:gridCol w:w="3009"/>
      </w:tblGrid>
      <w:tr>
        <w:trPr>
          <w:cantSplit/>
          <w:tblHeader/>
        </w:trPr>
        <w:tc>
          <w:tcPr>
            <w:shd w:fill="1F293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Tier</w:t>
            </w:r>
          </w:p>
        </w:tc>
        <w:tc>
          <w:tcPr>
            <w:shd w:fill="1F293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Definition</w:t>
            </w:r>
          </w:p>
        </w:tc>
        <w:tc>
          <w:tcPr>
            <w:shd w:fill="1F293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Who gets engaged</w:t>
            </w:r>
          </w:p>
        </w:tc>
      </w:tr>
      <w:tr>
        <w:trPr>
          <w:cantSplit/>
        </w:trPr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SEV1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Active incident, material impact or data exfiltration likely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Full response: commander, responders, counsel, communications</w:t>
            </w:r>
          </w:p>
        </w:tc>
      </w:tr>
      <w:tr>
        <w:trPr>
          <w:cantSplit/>
        </w:trPr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SEV2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Confirmed compromise, contained, materiality unclear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Commander, responders, counsel on standby</w:t>
            </w:r>
          </w:p>
        </w:tc>
      </w:tr>
      <w:tr>
        <w:trPr>
          <w:cantSplit/>
        </w:trPr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SEV3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Suspicious activity, unconfirmed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Technical lead, security team</w:t>
            </w:r>
          </w:p>
        </w:tc>
      </w:tr>
      <w:tr>
        <w:trPr>
          <w:cantSplit/>
        </w:trPr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SEV4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Policy violation or minor incident, no data impact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Security team</w:t>
            </w:r>
          </w:p>
        </w:tc>
      </w:tr>
    </w:tbl>
    <w:p>
      <w:pPr>
        <w:pStyle w:val="Heading1"/>
        <w:spacing w:after="160" w:before="360"/>
      </w:pPr>
      <w:r>
        <w:t xml:space="preserve">4. Response phases</w:t>
      </w:r>
    </w:p>
    <w:p>
      <w:pPr>
        <w:pStyle w:val="Heading2"/>
        <w:spacing w:after="120" w:before="280"/>
      </w:pPr>
      <w:r>
        <w:t xml:space="preserve">Detect and triage</w:t>
      </w:r>
    </w:p>
    <w:p>
      <w:pPr>
        <w:pStyle w:val="ListParagraph"/>
        <w:numPr>
          <w:ilvl w:val="0"/>
          <w:numId w:val="1"/>
        </w:numPr>
        <w:spacing w:after="80" w:line="312"/>
      </w:pPr>
      <w:r>
        <w:t xml:space="preserve">Log the discovery time to the minute; every clock keys off it.</w:t>
      </w:r>
    </w:p>
    <w:p>
      <w:pPr>
        <w:pStyle w:val="ListParagraph"/>
        <w:numPr>
          <w:ilvl w:val="0"/>
          <w:numId w:val="1"/>
        </w:numPr>
        <w:spacing w:after="80" w:line="312"/>
      </w:pPr>
      <w:r>
        <w:t xml:space="preserve">Assign severity; name the commander.</w:t>
      </w:r>
    </w:p>
    <w:p>
      <w:pPr>
        <w:pStyle w:val="ListParagraph"/>
        <w:numPr>
          <w:ilvl w:val="0"/>
          <w:numId w:val="1"/>
        </w:numPr>
        <w:spacing w:after="80" w:line="312"/>
      </w:pPr>
      <w:r>
        <w:t xml:space="preserve">Start the incident log: every action, decision, and time goes in it.</w:t>
      </w:r>
    </w:p>
    <w:p>
      <w:pPr>
        <w:pStyle w:val="Heading2"/>
        <w:spacing w:after="120" w:before="280"/>
      </w:pPr>
      <w:r>
        <w:t xml:space="preserve">Contain</w:t>
      </w:r>
    </w:p>
    <w:p>
      <w:pPr>
        <w:pStyle w:val="ListParagraph"/>
        <w:numPr>
          <w:ilvl w:val="0"/>
          <w:numId w:val="1"/>
        </w:numPr>
        <w:spacing w:after="80" w:line="312"/>
      </w:pPr>
      <w:r>
        <w:t xml:space="preserve">Isolate at the network level; do not power off encrypted or compromised machines (volatile data is evidence).</w:t>
      </w:r>
    </w:p>
    <w:p>
      <w:pPr>
        <w:pStyle w:val="ListParagraph"/>
        <w:numPr>
          <w:ilvl w:val="0"/>
          <w:numId w:val="1"/>
        </w:numPr>
        <w:spacing w:after="80" w:line="312"/>
      </w:pPr>
      <w:r>
        <w:t xml:space="preserve">Disable compromised accounts; block command-and-control destinations.</w:t>
      </w:r>
    </w:p>
    <w:p>
      <w:pPr>
        <w:pStyle w:val="ListParagraph"/>
        <w:numPr>
          <w:ilvl w:val="0"/>
          <w:numId w:val="1"/>
        </w:numPr>
        <w:spacing w:after="80" w:line="312"/>
      </w:pPr>
      <w:r>
        <w:t xml:space="preserve">Do not reimage, restore, or clean anything before forensics.</w:t>
      </w:r>
    </w:p>
    <w:p>
      <w:pPr>
        <w:pStyle w:val="Heading2"/>
        <w:spacing w:after="120" w:before="280"/>
      </w:pPr>
      <w:r>
        <w:t xml:space="preserve">Communicate</w:t>
      </w:r>
    </w:p>
    <w:p>
      <w:pPr>
        <w:pStyle w:val="ListParagraph"/>
        <w:numPr>
          <w:ilvl w:val="0"/>
          <w:numId w:val="1"/>
        </w:numPr>
        <w:spacing w:after="80" w:line="312"/>
      </w:pPr>
      <w:r>
        <w:t xml:space="preserve">One authorized voice; every statement written, counsel-reviewed, logged.</w:t>
      </w:r>
    </w:p>
    <w:p>
      <w:pPr>
        <w:pStyle w:val="ListParagraph"/>
        <w:numPr>
          <w:ilvl w:val="0"/>
          <w:numId w:val="1"/>
        </w:numPr>
        <w:spacing w:after="80" w:line="312"/>
      </w:pPr>
      <w:r>
        <w:t xml:space="preserve">Regulators by clock (see the matrix below); customers honestly; staff before press.</w:t>
      </w:r>
    </w:p>
    <w:p>
      <w:pPr>
        <w:pStyle w:val="ListParagraph"/>
        <w:numPr>
          <w:ilvl w:val="0"/>
          <w:numId w:val="1"/>
        </w:numPr>
        <w:spacing w:after="80" w:line="312"/>
      </w:pPr>
      <w:r>
        <w:t xml:space="preserve">No scope promises before confirmation; no blame narratives.</w:t>
      </w:r>
    </w:p>
    <w:p>
      <w:pPr>
        <w:pStyle w:val="Heading2"/>
        <w:spacing w:after="120" w:before="280"/>
      </w:pPr>
      <w:r>
        <w:t xml:space="preserve">Recover</w:t>
      </w:r>
    </w:p>
    <w:p>
      <w:pPr>
        <w:pStyle w:val="ListParagraph"/>
        <w:numPr>
          <w:ilvl w:val="0"/>
          <w:numId w:val="1"/>
        </w:numPr>
        <w:spacing w:after="80" w:line="312"/>
      </w:pPr>
      <w:r>
        <w:t xml:space="preserve">Restore from verified-clean backups with forensic sign-off on scope.</w:t>
      </w:r>
    </w:p>
    <w:p>
      <w:pPr>
        <w:pStyle w:val="ListParagraph"/>
        <w:numPr>
          <w:ilvl w:val="0"/>
          <w:numId w:val="1"/>
        </w:numPr>
        <w:spacing w:after="80" w:line="312"/>
      </w:pPr>
      <w:r>
        <w:t xml:space="preserve">Validate before returning systems to production.</w:t>
      </w:r>
    </w:p>
    <w:p>
      <w:pPr>
        <w:pStyle w:val="Heading2"/>
        <w:spacing w:after="120" w:before="280"/>
      </w:pPr>
      <w:r>
        <w:t xml:space="preserve">Review</w:t>
      </w:r>
    </w:p>
    <w:p>
      <w:pPr>
        <w:pStyle w:val="ListParagraph"/>
        <w:numPr>
          <w:ilvl w:val="0"/>
          <w:numId w:val="1"/>
        </w:numPr>
        <w:spacing w:after="80" w:line="312"/>
      </w:pPr>
      <w:r>
        <w:t xml:space="preserve">Post-incident review within two weeks: what was said as seriously as what was done.</w:t>
      </w:r>
    </w:p>
    <w:p>
      <w:pPr>
        <w:pStyle w:val="ListParagraph"/>
        <w:numPr>
          <w:ilvl w:val="0"/>
          <w:numId w:val="1"/>
        </w:numPr>
        <w:spacing w:after="80" w:line="312"/>
      </w:pPr>
      <w:r>
        <w:t xml:space="preserve">Feed findings back into this plan.</w:t>
      </w:r>
    </w:p>
    <w:p>
      <w:pPr>
        <w:pStyle w:val="Heading1"/>
        <w:spacing w:after="160" w:before="360"/>
      </w:pPr>
      <w:r>
        <w:t xml:space="preserve">5. Contact tree (fill in before the incident)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9"/>
        <w:gridCol w:w="3009"/>
        <w:gridCol w:w="3009"/>
      </w:tblGrid>
      <w:tr>
        <w:trPr>
          <w:cantSplit/>
          <w:tblHeader/>
        </w:trPr>
        <w:tc>
          <w:tcPr>
            <w:shd w:fill="1F293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Who</w:t>
            </w:r>
          </w:p>
        </w:tc>
        <w:tc>
          <w:tcPr>
            <w:shd w:fill="1F293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Name / number</w:t>
            </w:r>
          </w:p>
        </w:tc>
        <w:tc>
          <w:tcPr>
            <w:shd w:fill="1F293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When</w:t>
            </w:r>
          </w:p>
        </w:tc>
      </w:tr>
      <w:tr>
        <w:trPr>
          <w:cantSplit/>
        </w:trPr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Cyber insurance breach hotline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[fill in]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First call if insured; panel rules and reimbursement depend on it</w:t>
            </w:r>
          </w:p>
        </w:tc>
      </w:tr>
      <w:tr>
        <w:trPr>
          <w:cantSplit/>
        </w:trPr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Panel breach counsel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[fill in]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Second call; response runs under privilege</w:t>
            </w:r>
          </w:p>
        </w:tc>
      </w:tr>
      <w:tr>
        <w:trPr>
          <w:cantSplit/>
        </w:trPr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Panel / retainer IR firm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[fill in]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Third call; retainer terms and SLA in section 7</w:t>
            </w:r>
          </w:p>
        </w:tc>
      </w:tr>
      <w:tr>
        <w:trPr>
          <w:cantSplit/>
        </w:trPr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Crisis communications firm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[fill in]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If the incident is or will become public; check the carrier panel first</w:t>
            </w:r>
          </w:p>
        </w:tc>
      </w:tr>
      <w:tr>
        <w:trPr>
          <w:cantSplit/>
        </w:trPr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Law enforcement (FBI field office / IC3)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[fill in]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Ransomware, extortion, or critical infrastructure events</w:t>
            </w:r>
          </w:p>
        </w:tc>
      </w:tr>
      <w:tr>
        <w:trPr>
          <w:cantSplit/>
        </w:trPr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Primary federal regulator / supervisor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[fill in]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Per the notification matrix</w:t>
            </w:r>
          </w:p>
        </w:tc>
      </w:tr>
      <w:tr>
        <w:trPr>
          <w:cantSplit/>
        </w:trPr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Cloud / critical vendor support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[fill in]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Platform-side containment and evidence</w:t>
            </w:r>
          </w:p>
        </w:tc>
      </w:tr>
    </w:tbl>
    <w:p>
      <w:pPr>
        <w:pStyle w:val="Heading1"/>
        <w:spacing w:after="160" w:before="360"/>
      </w:pPr>
      <w:r>
        <w:t xml:space="preserve">6. Notification matrix</w:t>
      </w:r>
    </w:p>
    <w:p>
      <w:pPr>
        <w:spacing w:after="120" w:line="312"/>
      </w:pPr>
      <w:r>
        <w:t xml:space="preserve">The clocks stack; they do not replace each other. Verify current requirements with counsel; the deadlines below are the working patterns as last published.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rPr>
          <w:cantSplit/>
          <w:tblHeader/>
        </w:trPr>
        <w:tc>
          <w:tcPr>
            <w:shd w:fill="1F293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Regime</w:t>
            </w:r>
          </w:p>
        </w:tc>
        <w:tc>
          <w:tcPr>
            <w:shd w:fill="1F293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Trigger</w:t>
            </w:r>
          </w:p>
        </w:tc>
        <w:tc>
          <w:tcPr>
            <w:shd w:fill="1F293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Deadline</w:t>
            </w:r>
          </w:p>
        </w:tc>
        <w:tc>
          <w:tcPr>
            <w:shd w:fill="1F293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Who files</w:t>
            </w:r>
          </w:p>
        </w:tc>
      </w:tr>
      <w:tr>
        <w:trPr>
          <w:cantSplit/>
        </w:trPr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GDPR (EU/UK data)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Personal data breach with risk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72 hours to the authority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[fill in]</w:t>
            </w:r>
          </w:p>
        </w:tc>
      </w:tr>
      <w:tr>
        <w:trPr>
          <w:cantSplit/>
        </w:trPr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HIPAA (PHI)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Breach of unsecured PHI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60 days to individuals; contemporaneous log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[fill in]</w:t>
            </w:r>
          </w:p>
        </w:tc>
      </w:tr>
      <w:tr>
        <w:trPr>
          <w:cantSplit/>
        </w:trPr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US state breach laws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Acquisition of personal information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Varies; several states 30 days, most without unreasonable delay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[fill in]</w:t>
            </w:r>
          </w:p>
        </w:tc>
      </w:tr>
      <w:tr>
        <w:trPr>
          <w:cantSplit/>
        </w:trPr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SEC Item 1.05 (listed cos.)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Material cybersecurity incident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4 business days (8-K)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[fill in]</w:t>
            </w:r>
          </w:p>
        </w:tc>
      </w:tr>
      <w:tr>
        <w:trPr>
          <w:cantSplit/>
        </w:trPr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Banking (interagency rule)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Notification incident determined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36 hours to primary federal regulator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[fill in]</w:t>
            </w:r>
          </w:p>
        </w:tc>
      </w:tr>
      <w:tr>
        <w:trPr>
          <w:cantSplit/>
        </w:trPr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NYDFS Part 500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Qualifying cybersecurity event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72 hours to the superintendent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[fill in]</w:t>
            </w:r>
          </w:p>
        </w:tc>
      </w:tr>
      <w:tr>
        <w:trPr>
          <w:cantSplit/>
        </w:trPr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FTC Safeguards (non-bank)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Unencrypted info of 500+ consumers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30 days to the FTC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[fill in]</w:t>
            </w:r>
          </w:p>
        </w:tc>
      </w:tr>
      <w:tr>
        <w:trPr>
          <w:cantSplit/>
        </w:trPr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SEC Reg S-P (brokers/advisers)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Unauthorized access, sensitive info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30 days to affected individuals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[fill in]</w:t>
            </w:r>
          </w:p>
        </w:tc>
      </w:tr>
      <w:tr>
        <w:trPr>
          <w:cantSplit/>
        </w:trPr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State insurance (NAIC model)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Cybersecurity event determined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72 hours to the commissioner (varies by state)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[fill in]</w:t>
            </w:r>
          </w:p>
        </w:tc>
      </w:tr>
      <w:tr>
        <w:trPr>
          <w:cantSplit/>
        </w:trPr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Contractual notices (customers, partners)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Per contract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[fill in]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[fill in]</w:t>
            </w:r>
          </w:p>
        </w:tc>
      </w:tr>
    </w:tbl>
    <w:p>
      <w:pPr>
        <w:pStyle w:val="Heading1"/>
        <w:spacing w:after="160" w:before="360"/>
      </w:pPr>
      <w:r>
        <w:t xml:space="preserve">7. Retainer, panel, and pre-approval</w:t>
      </w:r>
    </w:p>
    <w:p>
      <w:pPr>
        <w:spacing w:after="120" w:line="312"/>
      </w:pPr>
      <w:r>
        <w:rPr>
          <w:b/>
          <w:bCs/>
        </w:rPr>
        <w:t xml:space="preserve">Policy location and carrier breach hotline number:</w:t>
      </w:r>
      <w:r>
        <w:rPr>
          <w:color w:val="888888"/>
        </w:rPr>
        <w:t xml:space="preserve">  [fill in]</w:t>
      </w:r>
    </w:p>
    <w:p>
      <w:pPr>
        <w:spacing w:after="120" w:line="312"/>
      </w:pPr>
      <w:r>
        <w:rPr>
          <w:b/>
          <w:bCs/>
        </w:rPr>
        <w:t xml:space="preserve">Panel firm list location (and where we verify it: carrier's own published page):</w:t>
      </w:r>
      <w:r>
        <w:rPr>
          <w:color w:val="888888"/>
        </w:rPr>
        <w:t xml:space="preserve">  [fill in]</w:t>
      </w:r>
    </w:p>
    <w:p>
      <w:pPr>
        <w:spacing w:after="120" w:line="312"/>
      </w:pPr>
      <w:r>
        <w:rPr>
          <w:b/>
          <w:bCs/>
        </w:rPr>
        <w:t xml:space="preserve">Retainer firm, terms, invocation procedure, and SLA:</w:t>
      </w:r>
      <w:r>
        <w:rPr>
          <w:color w:val="888888"/>
        </w:rPr>
        <w:t xml:space="preserve">  [fill in]</w:t>
      </w:r>
    </w:p>
    <w:p>
      <w:pPr>
        <w:spacing w:after="120" w:line="312"/>
      </w:pPr>
      <w:r>
        <w:rPr>
          <w:b/>
          <w:bCs/>
        </w:rPr>
        <w:t xml:space="preserve">Off-panel pre-approval process (who calls the carrier, who approves):</w:t>
      </w:r>
      <w:r>
        <w:rPr>
          <w:color w:val="888888"/>
        </w:rPr>
        <w:t xml:space="preserve">  [fill in]</w:t>
      </w:r>
    </w:p>
    <w:p>
      <w:pPr>
        <w:pStyle w:val="Heading1"/>
        <w:spacing w:after="160" w:before="360"/>
      </w:pPr>
      <w:r>
        <w:t xml:space="preserve">8. Board briefing skeleton (first briefing, within hours of discovery)</w:t>
      </w:r>
    </w:p>
    <w:p>
      <w:pPr>
        <w:pStyle w:val="ListParagraph"/>
        <w:numPr>
          <w:ilvl w:val="0"/>
          <w:numId w:val="1"/>
        </w:numPr>
        <w:spacing w:after="80" w:line="312"/>
      </w:pPr>
      <w:r>
        <w:t xml:space="preserve">What is known: discovery time, systems affected, response engaged (who, under what terms), containment status, facts with timestamps.</w:t>
      </w:r>
    </w:p>
    <w:p>
      <w:pPr>
        <w:pStyle w:val="ListParagraph"/>
        <w:numPr>
          <w:ilvl w:val="0"/>
          <w:numId w:val="1"/>
        </w:numPr>
        <w:spacing w:after="80" w:line="312"/>
      </w:pPr>
      <w:r>
        <w:t xml:space="preserve">What is not yet known: scope of data, exfiltration, attacker identity. Naming unknowns is how the board calibrates confidence.</w:t>
      </w:r>
    </w:p>
    <w:p>
      <w:pPr>
        <w:pStyle w:val="ListParagraph"/>
        <w:numPr>
          <w:ilvl w:val="0"/>
          <w:numId w:val="1"/>
        </w:numPr>
        <w:spacing w:after="80" w:line="312"/>
      </w:pPr>
      <w:r>
        <w:t xml:space="preserve">What happens next: the next 24 hours, the decision points coming, what the board will be asked to decide versus know.</w:t>
      </w:r>
    </w:p>
    <w:p>
      <w:pPr>
        <w:spacing w:after="120" w:line="312"/>
      </w:pPr>
      <w:r>
        <w:rPr>
          <w:b/>
          <w:bCs/>
        </w:rPr>
        <w:t xml:space="preserve">Briefing cadence (recommended: hourly day one, then a rhythm the incident sets):</w:t>
      </w:r>
      <w:r>
        <w:rPr>
          <w:color w:val="888888"/>
        </w:rPr>
        <w:t xml:space="preserve">  [fill in]</w:t>
      </w:r>
    </w:p>
    <w:p>
      <w:pPr>
        <w:pStyle w:val="Heading1"/>
        <w:spacing w:after="160" w:before="360"/>
      </w:pPr>
      <w:r>
        <w:t xml:space="preserve">9. Evidence handling rules</w:t>
      </w:r>
    </w:p>
    <w:p>
      <w:pPr>
        <w:pStyle w:val="ListParagraph"/>
        <w:numPr>
          <w:ilvl w:val="0"/>
          <w:numId w:val="1"/>
        </w:numPr>
        <w:spacing w:after="80" w:line="312"/>
      </w:pPr>
      <w:r>
        <w:t xml:space="preserve">Preserve before remediation: no reimage, no restore, no deletion before forensics.</w:t>
      </w:r>
    </w:p>
    <w:p>
      <w:pPr>
        <w:pStyle w:val="ListParagraph"/>
        <w:numPr>
          <w:ilvl w:val="0"/>
          <w:numId w:val="1"/>
        </w:numPr>
        <w:spacing w:after="80" w:line="312"/>
      </w:pPr>
      <w:r>
        <w:t xml:space="preserve">Chain of custody for anything collected; log who touched what, when.</w:t>
      </w:r>
    </w:p>
    <w:p>
      <w:pPr>
        <w:pStyle w:val="ListParagraph"/>
        <w:numPr>
          <w:ilvl w:val="0"/>
          <w:numId w:val="1"/>
        </w:numPr>
        <w:spacing w:after="80" w:line="312"/>
      </w:pPr>
      <w:r>
        <w:t xml:space="preserve">Response work runs under counsel's direction for privilege.</w:t>
      </w:r>
    </w:p>
    <w:p>
      <w:pPr>
        <w:pStyle w:val="ListParagraph"/>
        <w:numPr>
          <w:ilvl w:val="0"/>
          <w:numId w:val="1"/>
        </w:numPr>
        <w:spacing w:after="80" w:line="312"/>
      </w:pPr>
      <w:r>
        <w:t xml:space="preserve">The incident log is the record: it becomes the notification record, the claim, and the review.</w:t>
      </w:r>
    </w:p>
    <w:p>
      <w:pPr>
        <w:pStyle w:val="Heading1"/>
        <w:spacing w:after="160" w:before="360"/>
      </w:pPr>
      <w:r>
        <w:t xml:space="preserve">10. Exercises and maintenance</w:t>
      </w:r>
    </w:p>
    <w:p>
      <w:pPr>
        <w:pStyle w:val="ListParagraph"/>
        <w:numPr>
          <w:ilvl w:val="0"/>
          <w:numId w:val="1"/>
        </w:numPr>
        <w:spacing w:after="80" w:line="312"/>
      </w:pPr>
      <w:r>
        <w:t xml:space="preserve">Tabletop twice yearly, including the communications track, not just the technical one.</w:t>
      </w:r>
    </w:p>
    <w:p>
      <w:pPr>
        <w:pStyle w:val="ListParagraph"/>
        <w:numPr>
          <w:ilvl w:val="0"/>
          <w:numId w:val="1"/>
        </w:numPr>
        <w:spacing w:after="80" w:line="312"/>
      </w:pPr>
      <w:r>
        <w:t xml:space="preserve">Plan review after every incident and every exercise.</w:t>
      </w:r>
    </w:p>
    <w:p>
      <w:pPr>
        <w:pStyle w:val="ListParagraph"/>
        <w:numPr>
          <w:ilvl w:val="0"/>
          <w:numId w:val="1"/>
        </w:numPr>
        <w:spacing w:after="80" w:line="312"/>
      </w:pPr>
      <w:r>
        <w:t xml:space="preserve">Verify the contact tree quarterly; numbers decay silently.</w:t>
      </w:r>
    </w:p>
    <w:p>
      <w:pPr>
        <w:spacing w:after="120" w:line="312"/>
      </w:pPr>
      <w:r>
        <w:rPr>
          <w:b/>
          <w:bCs/>
        </w:rPr>
        <w:t xml:space="preserve">Next tabletop scheduled:</w:t>
      </w:r>
      <w:r>
        <w:rPr>
          <w:color w:val="888888"/>
        </w:rPr>
        <w:t xml:space="preserve">  [fill in]</w:t>
      </w:r>
    </w:p>
    <w:p>
      <w:pPr>
        <w:spacing w:after="120" w:line="312"/>
      </w:pPr>
      <w:r>
        <w:rPr>
          <w:b/>
          <w:bCs/>
        </w:rPr>
        <w:t xml:space="preserve">Next plan review scheduled:</w:t>
      </w:r>
      <w:r>
        <w:rPr>
          <w:color w:val="888888"/>
        </w:rPr>
        <w:t xml:space="preserve">  [fill in]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Provided by vendorquals.com, the evidence-graded incident response firm directory. Adapt to your organization; this template is not legal advice. Page </w:t>
    </w:r>
    <w:r>
      <w:rPr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88888"/>
        <w:sz w:val="16"/>
        <w:szCs w:val="16"/>
      </w:rPr>
      <w:t xml:space="preserve">Incident Response Plan Template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Incident Response Plan Template</dc:title>
  <dc:creator>VendorQuals</dc:creator>
  <dc:description>A fill-in incident response plan template from vendorquals.com</dc:description>
  <cp:lastModifiedBy>Un-named</cp:lastModifiedBy>
  <cp:revision>1</cp:revision>
  <dcterms:created xsi:type="dcterms:W3CDTF">2026-10-16T11:15:57.956Z</dcterms:created>
  <dcterms:modified xsi:type="dcterms:W3CDTF">2026-10-16T11:15:57.958Z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